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4E7E" w14:textId="77777777" w:rsidR="008D0DF0" w:rsidRPr="00204E1A" w:rsidRDefault="008D0DF0" w:rsidP="008D0DF0">
      <w:pPr>
        <w:spacing w:after="0" w:line="240" w:lineRule="auto"/>
        <w:jc w:val="both"/>
        <w:rPr>
          <w:rFonts w:ascii="Times New Roman" w:hAnsi="Times New Roman" w:cs="Times New Roman"/>
          <w:b/>
          <w:bCs/>
        </w:rPr>
      </w:pPr>
      <w:r w:rsidRPr="00204E1A">
        <w:rPr>
          <w:rFonts w:ascii="Times New Roman" w:hAnsi="Times New Roman" w:cs="Times New Roman"/>
          <w:b/>
          <w:bCs/>
        </w:rPr>
        <w:t>Mini symposium on Causal inference in cultural economics</w:t>
      </w:r>
    </w:p>
    <w:p w14:paraId="63E50818" w14:textId="77777777" w:rsidR="008D0DF0" w:rsidRPr="008D0DF0" w:rsidRDefault="008D0DF0" w:rsidP="008D0DF0">
      <w:pPr>
        <w:spacing w:after="0" w:line="240" w:lineRule="auto"/>
        <w:jc w:val="both"/>
        <w:rPr>
          <w:rFonts w:ascii="Times New Roman" w:hAnsi="Times New Roman" w:cs="Times New Roman"/>
        </w:rPr>
      </w:pPr>
    </w:p>
    <w:p w14:paraId="64747621" w14:textId="322B1F87" w:rsidR="008D0DF0" w:rsidRPr="008D0DF0" w:rsidRDefault="008D0DF0" w:rsidP="008D0DF0">
      <w:pPr>
        <w:spacing w:after="0" w:line="240" w:lineRule="auto"/>
        <w:jc w:val="both"/>
        <w:rPr>
          <w:rFonts w:ascii="Times New Roman" w:hAnsi="Times New Roman" w:cs="Times New Roman"/>
        </w:rPr>
      </w:pPr>
      <w:r w:rsidRPr="008D0DF0">
        <w:rPr>
          <w:rFonts w:ascii="Times New Roman" w:hAnsi="Times New Roman" w:cs="Times New Roman"/>
        </w:rPr>
        <w:t>Date and time: Tuesday, February 13,</w:t>
      </w:r>
      <w:r w:rsidR="00CA3E18">
        <w:rPr>
          <w:rFonts w:ascii="Times New Roman" w:hAnsi="Times New Roman" w:cs="Times New Roman"/>
        </w:rPr>
        <w:t xml:space="preserve"> 2024,</w:t>
      </w:r>
      <w:r w:rsidRPr="008D0DF0">
        <w:rPr>
          <w:rFonts w:ascii="Times New Roman" w:hAnsi="Times New Roman" w:cs="Times New Roman"/>
        </w:rPr>
        <w:t xml:space="preserve"> 9:00 AM Central European Time, online via Zoom</w:t>
      </w:r>
    </w:p>
    <w:p w14:paraId="3673DE06" w14:textId="77777777" w:rsidR="008D0DF0" w:rsidRDefault="008D0DF0" w:rsidP="00656532">
      <w:pPr>
        <w:spacing w:after="0" w:line="240" w:lineRule="auto"/>
        <w:jc w:val="both"/>
        <w:rPr>
          <w:rFonts w:ascii="Times New Roman" w:hAnsi="Times New Roman" w:cs="Times New Roman"/>
        </w:rPr>
      </w:pPr>
    </w:p>
    <w:p w14:paraId="660C46F8" w14:textId="77777777" w:rsidR="008D0DF0" w:rsidRDefault="00656532" w:rsidP="008D0DF0">
      <w:pPr>
        <w:spacing w:after="0" w:line="240" w:lineRule="auto"/>
        <w:jc w:val="both"/>
        <w:rPr>
          <w:rFonts w:ascii="Times New Roman" w:hAnsi="Times New Roman" w:cs="Times New Roman"/>
        </w:rPr>
      </w:pPr>
      <w:r w:rsidRPr="00656532">
        <w:rPr>
          <w:rFonts w:ascii="Times New Roman" w:hAnsi="Times New Roman" w:cs="Times New Roman"/>
        </w:rPr>
        <w:t>Methods of causal inference and causal discovery in econometrics and statistics have gained prominence in recent decades, following seminal works of Donald Rubin, Judea Pearl, James Heckman, Guido Imbens, Joshua Angrist, James Robins and Philip Dawid, among many authors. Research has been gaining ground in both potential outcomes as well as directed acyclic graphical approaches, and combinations of both such as the single world intervention graph perspective. Recenty, connections of machine learning and data science with causal inference have been subject to a body of research, opening many new perspectives. In our mini-symposium we aim to present and discuss some of the most interesting recent applications of such methods in cultural economics.</w:t>
      </w:r>
    </w:p>
    <w:p w14:paraId="55016E42" w14:textId="77777777" w:rsidR="008D0DF0" w:rsidRDefault="008D0DF0" w:rsidP="008D0DF0">
      <w:pPr>
        <w:spacing w:after="0" w:line="240" w:lineRule="auto"/>
        <w:jc w:val="both"/>
        <w:rPr>
          <w:rFonts w:ascii="Times New Roman" w:hAnsi="Times New Roman" w:cs="Times New Roman"/>
        </w:rPr>
      </w:pPr>
    </w:p>
    <w:p w14:paraId="64A84D55" w14:textId="50C50CFC" w:rsidR="00204E1A" w:rsidRPr="00204E1A" w:rsidRDefault="00204E1A" w:rsidP="008D0DF0">
      <w:pPr>
        <w:spacing w:after="0" w:line="240" w:lineRule="auto"/>
        <w:jc w:val="both"/>
        <w:rPr>
          <w:rFonts w:ascii="Times New Roman" w:hAnsi="Times New Roman" w:cs="Times New Roman"/>
          <w:i/>
          <w:iCs/>
        </w:rPr>
      </w:pPr>
      <w:r>
        <w:rPr>
          <w:rFonts w:ascii="Times New Roman" w:hAnsi="Times New Roman" w:cs="Times New Roman"/>
        </w:rPr>
        <w:t xml:space="preserve">- </w:t>
      </w:r>
      <w:r w:rsidR="008D0DF0" w:rsidRPr="00204E1A">
        <w:rPr>
          <w:rFonts w:ascii="Times New Roman" w:hAnsi="Times New Roman" w:cs="Times New Roman"/>
          <w:b/>
          <w:bCs/>
        </w:rPr>
        <w:t>Matthias Sahli</w:t>
      </w:r>
      <w:r w:rsidR="008D0DF0" w:rsidRPr="008D0DF0">
        <w:rPr>
          <w:rFonts w:ascii="Times New Roman" w:hAnsi="Times New Roman" w:cs="Times New Roman"/>
        </w:rPr>
        <w:t xml:space="preserve"> (joint</w:t>
      </w:r>
      <w:r>
        <w:rPr>
          <w:rFonts w:ascii="Times New Roman" w:hAnsi="Times New Roman" w:cs="Times New Roman"/>
        </w:rPr>
        <w:t xml:space="preserve"> article</w:t>
      </w:r>
      <w:r w:rsidR="008D0DF0" w:rsidRPr="008D0DF0">
        <w:rPr>
          <w:rFonts w:ascii="Times New Roman" w:hAnsi="Times New Roman" w:cs="Times New Roman"/>
        </w:rPr>
        <w:t xml:space="preserve"> with Alexander Cuntz): </w:t>
      </w:r>
      <w:r w:rsidR="008D0DF0" w:rsidRPr="00204E1A">
        <w:rPr>
          <w:rFonts w:ascii="Times New Roman" w:hAnsi="Times New Roman" w:cs="Times New Roman"/>
          <w:i/>
          <w:iCs/>
        </w:rPr>
        <w:t>Ars longa, vita brevis: The death of the creator and the impact on exhibitions and auction markets</w:t>
      </w:r>
    </w:p>
    <w:p w14:paraId="21F30BA8" w14:textId="77777777" w:rsidR="00204E1A" w:rsidRDefault="00204E1A" w:rsidP="008D0DF0">
      <w:pPr>
        <w:spacing w:after="0" w:line="240" w:lineRule="auto"/>
        <w:jc w:val="both"/>
        <w:rPr>
          <w:rFonts w:ascii="Times New Roman" w:hAnsi="Times New Roman" w:cs="Times New Roman"/>
        </w:rPr>
      </w:pPr>
    </w:p>
    <w:p w14:paraId="25193A44" w14:textId="78C3A9F8" w:rsidR="00204E1A" w:rsidRDefault="00204E1A" w:rsidP="00204E1A">
      <w:pPr>
        <w:spacing w:after="0" w:line="240" w:lineRule="auto"/>
        <w:jc w:val="both"/>
        <w:rPr>
          <w:rFonts w:ascii="Times New Roman" w:hAnsi="Times New Roman" w:cs="Times New Roman"/>
        </w:rPr>
      </w:pPr>
      <w:r w:rsidRPr="00204E1A">
        <w:rPr>
          <w:rFonts w:ascii="Times New Roman" w:hAnsi="Times New Roman" w:cs="Times New Roman"/>
          <w:u w:val="single"/>
        </w:rPr>
        <w:t>Abstract</w:t>
      </w:r>
      <w:r w:rsidRPr="00204E1A">
        <w:rPr>
          <w:rFonts w:ascii="Times New Roman" w:hAnsi="Times New Roman" w:cs="Times New Roman"/>
        </w:rPr>
        <w:t>:</w:t>
      </w:r>
      <w:r>
        <w:rPr>
          <w:rFonts w:ascii="Times New Roman" w:hAnsi="Times New Roman" w:cs="Times New Roman"/>
        </w:rPr>
        <w:t xml:space="preserve"> </w:t>
      </w:r>
      <w:r w:rsidRPr="00204E1A">
        <w:rPr>
          <w:rFonts w:ascii="Times New Roman" w:hAnsi="Times New Roman" w:cs="Times New Roman"/>
        </w:rPr>
        <w:t>This paper studies the death effect on artists’ exhibitions and commercial success in the secondary art market.</w:t>
      </w:r>
      <w:r>
        <w:rPr>
          <w:rFonts w:ascii="Times New Roman" w:hAnsi="Times New Roman" w:cs="Times New Roman"/>
        </w:rPr>
        <w:t xml:space="preserve"> </w:t>
      </w:r>
      <w:r w:rsidRPr="00204E1A">
        <w:rPr>
          <w:rFonts w:ascii="Times New Roman" w:hAnsi="Times New Roman" w:cs="Times New Roman"/>
        </w:rPr>
        <w:t>Based on a random sample of 1000 popular artists born after the turn of the 20th century, we construct a novel panel</w:t>
      </w:r>
      <w:r>
        <w:rPr>
          <w:rFonts w:ascii="Times New Roman" w:hAnsi="Times New Roman" w:cs="Times New Roman"/>
        </w:rPr>
        <w:t xml:space="preserve"> </w:t>
      </w:r>
      <w:r w:rsidRPr="00204E1A">
        <w:rPr>
          <w:rFonts w:ascii="Times New Roman" w:hAnsi="Times New Roman" w:cs="Times New Roman"/>
        </w:rPr>
        <w:t>data set of their worldwide exhibition history and auction transactions. By applying a regression discontinuity and</w:t>
      </w:r>
      <w:r>
        <w:rPr>
          <w:rFonts w:ascii="Times New Roman" w:hAnsi="Times New Roman" w:cs="Times New Roman"/>
        </w:rPr>
        <w:t xml:space="preserve"> </w:t>
      </w:r>
      <w:r w:rsidRPr="00204E1A">
        <w:rPr>
          <w:rFonts w:ascii="Times New Roman" w:hAnsi="Times New Roman" w:cs="Times New Roman"/>
        </w:rPr>
        <w:t>event study design, we find an overall negative effect of artist death on the number of exhibitions. However, this post</w:t>
      </w:r>
      <w:r>
        <w:rPr>
          <w:rFonts w:ascii="Times New Roman" w:hAnsi="Times New Roman" w:cs="Times New Roman"/>
        </w:rPr>
        <w:t xml:space="preserve"> </w:t>
      </w:r>
      <w:r w:rsidRPr="00204E1A">
        <w:rPr>
          <w:rFonts w:ascii="Times New Roman" w:hAnsi="Times New Roman" w:cs="Times New Roman"/>
        </w:rPr>
        <w:t>mortem effect disappears in longer term. Roughly ten years after death, exhibitions are back to pre-death levels. Arguably,</w:t>
      </w:r>
      <w:r>
        <w:rPr>
          <w:rFonts w:ascii="Times New Roman" w:hAnsi="Times New Roman" w:cs="Times New Roman"/>
        </w:rPr>
        <w:t xml:space="preserve"> </w:t>
      </w:r>
      <w:r w:rsidRPr="00204E1A">
        <w:rPr>
          <w:rFonts w:ascii="Times New Roman" w:hAnsi="Times New Roman" w:cs="Times New Roman"/>
        </w:rPr>
        <w:t>transaction cost and higher auction prices after death also temporarily increase the average cost of exhibiting</w:t>
      </w:r>
      <w:r>
        <w:rPr>
          <w:rFonts w:ascii="Times New Roman" w:hAnsi="Times New Roman" w:cs="Times New Roman"/>
        </w:rPr>
        <w:t xml:space="preserve"> </w:t>
      </w:r>
      <w:r w:rsidRPr="00204E1A">
        <w:rPr>
          <w:rFonts w:ascii="Times New Roman" w:hAnsi="Times New Roman" w:cs="Times New Roman"/>
        </w:rPr>
        <w:t>artworks, e.g. higher market valuation raises (unobserved) insurance cost for exhibitions. Hedonic auction price models</w:t>
      </w:r>
      <w:r>
        <w:rPr>
          <w:rFonts w:ascii="Times New Roman" w:hAnsi="Times New Roman" w:cs="Times New Roman"/>
        </w:rPr>
        <w:t xml:space="preserve"> </w:t>
      </w:r>
      <w:r w:rsidRPr="00204E1A">
        <w:rPr>
          <w:rFonts w:ascii="Times New Roman" w:hAnsi="Times New Roman" w:cs="Times New Roman"/>
        </w:rPr>
        <w:t>confirm this intuition and suggest a significant price premium posthumously. We find substantial heterogeneity in</w:t>
      </w:r>
      <w:r>
        <w:rPr>
          <w:rFonts w:ascii="Times New Roman" w:hAnsi="Times New Roman" w:cs="Times New Roman"/>
        </w:rPr>
        <w:t xml:space="preserve"> </w:t>
      </w:r>
      <w:r w:rsidRPr="00204E1A">
        <w:rPr>
          <w:rFonts w:ascii="Times New Roman" w:hAnsi="Times New Roman" w:cs="Times New Roman"/>
        </w:rPr>
        <w:t>the treatment depending on the age and reputation of the artist at death. Overall</w:t>
      </w:r>
      <w:r>
        <w:rPr>
          <w:rFonts w:ascii="Times New Roman" w:hAnsi="Times New Roman" w:cs="Times New Roman"/>
        </w:rPr>
        <w:t xml:space="preserve"> </w:t>
      </w:r>
      <w:r w:rsidRPr="00204E1A">
        <w:rPr>
          <w:rFonts w:ascii="Times New Roman" w:hAnsi="Times New Roman" w:cs="Times New Roman"/>
        </w:rPr>
        <w:t>findings explain important mechanisms</w:t>
      </w:r>
      <w:r>
        <w:rPr>
          <w:rFonts w:ascii="Times New Roman" w:hAnsi="Times New Roman" w:cs="Times New Roman"/>
        </w:rPr>
        <w:t xml:space="preserve"> </w:t>
      </w:r>
      <w:r w:rsidRPr="00204E1A">
        <w:rPr>
          <w:rFonts w:ascii="Times New Roman" w:hAnsi="Times New Roman" w:cs="Times New Roman"/>
        </w:rPr>
        <w:t>for the post mortem value of artistic work and have important policy implications for the creative sectors and the</w:t>
      </w:r>
      <w:r>
        <w:rPr>
          <w:rFonts w:ascii="Times New Roman" w:hAnsi="Times New Roman" w:cs="Times New Roman"/>
        </w:rPr>
        <w:t xml:space="preserve"> </w:t>
      </w:r>
      <w:r w:rsidRPr="00204E1A">
        <w:rPr>
          <w:rFonts w:ascii="Times New Roman" w:hAnsi="Times New Roman" w:cs="Times New Roman"/>
        </w:rPr>
        <w:t>design of legacy stewardship rules, including a possible justification for rights granted post mortem such as copyright.</w:t>
      </w:r>
    </w:p>
    <w:p w14:paraId="687631F3" w14:textId="77777777" w:rsidR="00204E1A" w:rsidRDefault="00204E1A" w:rsidP="008D0DF0">
      <w:pPr>
        <w:spacing w:after="0" w:line="240" w:lineRule="auto"/>
        <w:jc w:val="both"/>
        <w:rPr>
          <w:rFonts w:ascii="Times New Roman" w:hAnsi="Times New Roman" w:cs="Times New Roman"/>
        </w:rPr>
      </w:pPr>
    </w:p>
    <w:p w14:paraId="25694FD3" w14:textId="6ABFA588" w:rsidR="008D0DF0" w:rsidRPr="008D0DF0" w:rsidRDefault="00204E1A" w:rsidP="008D0DF0">
      <w:pPr>
        <w:spacing w:after="0" w:line="240" w:lineRule="auto"/>
        <w:jc w:val="both"/>
        <w:rPr>
          <w:rFonts w:ascii="Times New Roman" w:hAnsi="Times New Roman" w:cs="Times New Roman"/>
        </w:rPr>
      </w:pPr>
      <w:r>
        <w:rPr>
          <w:rFonts w:ascii="Times New Roman" w:hAnsi="Times New Roman" w:cs="Times New Roman"/>
        </w:rPr>
        <w:t xml:space="preserve">- </w:t>
      </w:r>
      <w:r w:rsidR="008D0DF0" w:rsidRPr="00204E1A">
        <w:rPr>
          <w:rFonts w:ascii="Times New Roman" w:hAnsi="Times New Roman" w:cs="Times New Roman"/>
          <w:b/>
          <w:bCs/>
        </w:rPr>
        <w:t>David Throsby</w:t>
      </w:r>
      <w:r w:rsidR="008D0DF0" w:rsidRPr="008D0DF0">
        <w:rPr>
          <w:rFonts w:ascii="Times New Roman" w:hAnsi="Times New Roman" w:cs="Times New Roman"/>
        </w:rPr>
        <w:t xml:space="preserve"> (joint</w:t>
      </w:r>
      <w:r>
        <w:rPr>
          <w:rFonts w:ascii="Times New Roman" w:hAnsi="Times New Roman" w:cs="Times New Roman"/>
        </w:rPr>
        <w:t xml:space="preserve"> article</w:t>
      </w:r>
      <w:r w:rsidR="008D0DF0" w:rsidRPr="008D0DF0">
        <w:rPr>
          <w:rFonts w:ascii="Times New Roman" w:hAnsi="Times New Roman" w:cs="Times New Roman"/>
        </w:rPr>
        <w:t xml:space="preserve"> with John R. Severn and Katya Petetskaya): </w:t>
      </w:r>
      <w:r w:rsidR="008D0DF0" w:rsidRPr="00204E1A">
        <w:rPr>
          <w:rFonts w:ascii="Times New Roman" w:hAnsi="Times New Roman" w:cs="Times New Roman"/>
          <w:i/>
          <w:iCs/>
        </w:rPr>
        <w:t>Preference formation in demand for live theatre</w:t>
      </w:r>
    </w:p>
    <w:p w14:paraId="47491284" w14:textId="77777777" w:rsidR="00204E1A" w:rsidRDefault="00204E1A" w:rsidP="008D0DF0">
      <w:pPr>
        <w:spacing w:after="0" w:line="240" w:lineRule="auto"/>
        <w:jc w:val="both"/>
        <w:rPr>
          <w:rFonts w:ascii="Times New Roman" w:hAnsi="Times New Roman" w:cs="Times New Roman"/>
        </w:rPr>
      </w:pPr>
    </w:p>
    <w:p w14:paraId="27ABAFE0" w14:textId="44F3650D" w:rsidR="00204E1A" w:rsidRDefault="00204E1A" w:rsidP="00204E1A">
      <w:pPr>
        <w:spacing w:after="0" w:line="240" w:lineRule="auto"/>
        <w:jc w:val="both"/>
        <w:rPr>
          <w:rFonts w:ascii="Times New Roman" w:hAnsi="Times New Roman" w:cs="Times New Roman"/>
        </w:rPr>
      </w:pPr>
      <w:r w:rsidRPr="00204E1A">
        <w:rPr>
          <w:rFonts w:ascii="Times New Roman" w:hAnsi="Times New Roman" w:cs="Times New Roman"/>
          <w:u w:val="single"/>
        </w:rPr>
        <w:t>Abstract</w:t>
      </w:r>
      <w:r w:rsidRPr="00204E1A">
        <w:rPr>
          <w:rFonts w:ascii="Times New Roman" w:hAnsi="Times New Roman" w:cs="Times New Roman"/>
        </w:rPr>
        <w:t>:</w:t>
      </w:r>
      <w:r>
        <w:rPr>
          <w:rFonts w:ascii="Times New Roman" w:hAnsi="Times New Roman" w:cs="Times New Roman"/>
        </w:rPr>
        <w:t xml:space="preserve"> </w:t>
      </w:r>
      <w:r w:rsidRPr="00204E1A">
        <w:rPr>
          <w:rFonts w:ascii="Times New Roman" w:hAnsi="Times New Roman" w:cs="Times New Roman"/>
        </w:rPr>
        <w:t>In economics, the concept of preferences is fundamental to the theory of choice. In</w:t>
      </w:r>
      <w:r>
        <w:rPr>
          <w:rFonts w:ascii="Times New Roman" w:hAnsi="Times New Roman" w:cs="Times New Roman"/>
        </w:rPr>
        <w:t xml:space="preserve"> </w:t>
      </w:r>
      <w:r w:rsidRPr="00204E1A">
        <w:rPr>
          <w:rFonts w:ascii="Times New Roman" w:hAnsi="Times New Roman" w:cs="Times New Roman"/>
        </w:rPr>
        <w:t>many demand analyses, preferences are taken as given, although interesting questions</w:t>
      </w:r>
      <w:r>
        <w:rPr>
          <w:rFonts w:ascii="Times New Roman" w:hAnsi="Times New Roman" w:cs="Times New Roman"/>
        </w:rPr>
        <w:t xml:space="preserve"> </w:t>
      </w:r>
      <w:r w:rsidRPr="00204E1A">
        <w:rPr>
          <w:rFonts w:ascii="Times New Roman" w:hAnsi="Times New Roman" w:cs="Times New Roman"/>
        </w:rPr>
        <w:t>can be asked about how they originate. In this paper, we consider the formation</w:t>
      </w:r>
      <w:r>
        <w:rPr>
          <w:rFonts w:ascii="Times New Roman" w:hAnsi="Times New Roman" w:cs="Times New Roman"/>
        </w:rPr>
        <w:t xml:space="preserve"> </w:t>
      </w:r>
      <w:r w:rsidRPr="00204E1A">
        <w:rPr>
          <w:rFonts w:ascii="Times New Roman" w:hAnsi="Times New Roman" w:cs="Times New Roman"/>
        </w:rPr>
        <w:t>of preferences in demand for live theatre. We propose a model where preferences</w:t>
      </w:r>
      <w:r>
        <w:rPr>
          <w:rFonts w:ascii="Times New Roman" w:hAnsi="Times New Roman" w:cs="Times New Roman"/>
        </w:rPr>
        <w:t xml:space="preserve"> </w:t>
      </w:r>
      <w:r w:rsidRPr="00204E1A">
        <w:rPr>
          <w:rFonts w:ascii="Times New Roman" w:hAnsi="Times New Roman" w:cs="Times New Roman"/>
        </w:rPr>
        <w:t>are derived from certain identifiable types of experience gained from past attendances</w:t>
      </w:r>
      <w:r>
        <w:rPr>
          <w:rFonts w:ascii="Times New Roman" w:hAnsi="Times New Roman" w:cs="Times New Roman"/>
        </w:rPr>
        <w:t xml:space="preserve"> </w:t>
      </w:r>
      <w:r w:rsidRPr="00204E1A">
        <w:rPr>
          <w:rFonts w:ascii="Times New Roman" w:hAnsi="Times New Roman" w:cs="Times New Roman"/>
        </w:rPr>
        <w:t>at live theatre productions, as well as from some characteristics of consumers</w:t>
      </w:r>
      <w:r>
        <w:rPr>
          <w:rFonts w:ascii="Times New Roman" w:hAnsi="Times New Roman" w:cs="Times New Roman"/>
        </w:rPr>
        <w:t xml:space="preserve"> </w:t>
      </w:r>
      <w:r w:rsidRPr="00204E1A">
        <w:rPr>
          <w:rFonts w:ascii="Times New Roman" w:hAnsi="Times New Roman" w:cs="Times New Roman"/>
        </w:rPr>
        <w:t>including their theatre-related human capital and their habitual behaviour patterns in</w:t>
      </w:r>
      <w:r>
        <w:rPr>
          <w:rFonts w:ascii="Times New Roman" w:hAnsi="Times New Roman" w:cs="Times New Roman"/>
        </w:rPr>
        <w:t xml:space="preserve"> </w:t>
      </w:r>
      <w:r w:rsidRPr="00204E1A">
        <w:rPr>
          <w:rFonts w:ascii="Times New Roman" w:hAnsi="Times New Roman" w:cs="Times New Roman"/>
        </w:rPr>
        <w:t>attending a performance. We hypothesise that the preferences formed through these</w:t>
      </w:r>
      <w:r>
        <w:rPr>
          <w:rFonts w:ascii="Times New Roman" w:hAnsi="Times New Roman" w:cs="Times New Roman"/>
        </w:rPr>
        <w:t xml:space="preserve"> </w:t>
      </w:r>
      <w:r w:rsidRPr="00204E1A">
        <w:rPr>
          <w:rFonts w:ascii="Times New Roman" w:hAnsi="Times New Roman" w:cs="Times New Roman"/>
        </w:rPr>
        <w:t>processes determine conditional demand for future live theatre consumption. The</w:t>
      </w:r>
      <w:r>
        <w:rPr>
          <w:rFonts w:ascii="Times New Roman" w:hAnsi="Times New Roman" w:cs="Times New Roman"/>
        </w:rPr>
        <w:t xml:space="preserve"> </w:t>
      </w:r>
      <w:r w:rsidRPr="00204E1A">
        <w:rPr>
          <w:rFonts w:ascii="Times New Roman" w:hAnsi="Times New Roman" w:cs="Times New Roman"/>
        </w:rPr>
        <w:t>model is estimated as a two-stage system using data from a recent survey of theatregoers.</w:t>
      </w:r>
      <w:r>
        <w:rPr>
          <w:rFonts w:ascii="Times New Roman" w:hAnsi="Times New Roman" w:cs="Times New Roman"/>
        </w:rPr>
        <w:t xml:space="preserve"> </w:t>
      </w:r>
      <w:r w:rsidRPr="00204E1A">
        <w:rPr>
          <w:rFonts w:ascii="Times New Roman" w:hAnsi="Times New Roman" w:cs="Times New Roman"/>
        </w:rPr>
        <w:t>The paper is interdisciplinary in its approach, drawing its modelling and</w:t>
      </w:r>
      <w:r>
        <w:rPr>
          <w:rFonts w:ascii="Times New Roman" w:hAnsi="Times New Roman" w:cs="Times New Roman"/>
        </w:rPr>
        <w:t xml:space="preserve"> </w:t>
      </w:r>
      <w:r w:rsidRPr="00204E1A">
        <w:rPr>
          <w:rFonts w:ascii="Times New Roman" w:hAnsi="Times New Roman" w:cs="Times New Roman"/>
        </w:rPr>
        <w:t>methodologies from economics, and its interpretation of results from the academic</w:t>
      </w:r>
      <w:r>
        <w:rPr>
          <w:rFonts w:ascii="Times New Roman" w:hAnsi="Times New Roman" w:cs="Times New Roman"/>
        </w:rPr>
        <w:t xml:space="preserve"> </w:t>
      </w:r>
      <w:r w:rsidRPr="00204E1A">
        <w:rPr>
          <w:rFonts w:ascii="Times New Roman" w:hAnsi="Times New Roman" w:cs="Times New Roman"/>
        </w:rPr>
        <w:t>discipline of theatre studies.</w:t>
      </w:r>
    </w:p>
    <w:p w14:paraId="5358123C" w14:textId="77777777" w:rsidR="00204E1A" w:rsidRDefault="00204E1A" w:rsidP="008D0DF0">
      <w:pPr>
        <w:spacing w:after="0" w:line="240" w:lineRule="auto"/>
        <w:jc w:val="both"/>
        <w:rPr>
          <w:rFonts w:ascii="Times New Roman" w:hAnsi="Times New Roman" w:cs="Times New Roman"/>
        </w:rPr>
      </w:pPr>
    </w:p>
    <w:p w14:paraId="3F011B69" w14:textId="0086EDA9" w:rsidR="00656532" w:rsidRDefault="008D0DF0" w:rsidP="008D0DF0">
      <w:pPr>
        <w:spacing w:after="0" w:line="240" w:lineRule="auto"/>
        <w:jc w:val="both"/>
        <w:rPr>
          <w:rFonts w:ascii="Times New Roman" w:hAnsi="Times New Roman" w:cs="Times New Roman"/>
        </w:rPr>
      </w:pPr>
      <w:r w:rsidRPr="008D0DF0">
        <w:rPr>
          <w:rFonts w:ascii="Times New Roman" w:hAnsi="Times New Roman" w:cs="Times New Roman"/>
        </w:rPr>
        <w:t xml:space="preserve">- </w:t>
      </w:r>
      <w:r w:rsidRPr="00204E1A">
        <w:rPr>
          <w:rFonts w:ascii="Times New Roman" w:hAnsi="Times New Roman" w:cs="Times New Roman"/>
          <w:b/>
          <w:bCs/>
        </w:rPr>
        <w:t>Andrea Baldin</w:t>
      </w:r>
      <w:r w:rsidRPr="008D0DF0">
        <w:rPr>
          <w:rFonts w:ascii="Times New Roman" w:hAnsi="Times New Roman" w:cs="Times New Roman"/>
        </w:rPr>
        <w:t xml:space="preserve"> (jointly with Trine Bille): </w:t>
      </w:r>
      <w:r w:rsidRPr="00204E1A">
        <w:rPr>
          <w:rFonts w:ascii="Times New Roman" w:hAnsi="Times New Roman" w:cs="Times New Roman"/>
          <w:i/>
          <w:iCs/>
        </w:rPr>
        <w:t>The lost value for users of cultural institutions during the COVID‑19 pandemic: a life satisfaction approach</w:t>
      </w:r>
    </w:p>
    <w:p w14:paraId="51D48947" w14:textId="77777777" w:rsidR="00204E1A" w:rsidRDefault="00204E1A" w:rsidP="008D0DF0">
      <w:pPr>
        <w:spacing w:after="0" w:line="240" w:lineRule="auto"/>
        <w:jc w:val="both"/>
        <w:rPr>
          <w:rFonts w:ascii="Times New Roman" w:hAnsi="Times New Roman" w:cs="Times New Roman"/>
        </w:rPr>
      </w:pPr>
    </w:p>
    <w:p w14:paraId="4DB3645F" w14:textId="7CA4890E" w:rsidR="00204E1A" w:rsidRDefault="00204E1A" w:rsidP="00204E1A">
      <w:pPr>
        <w:spacing w:after="0" w:line="240" w:lineRule="auto"/>
        <w:jc w:val="both"/>
        <w:rPr>
          <w:rFonts w:ascii="Times New Roman" w:hAnsi="Times New Roman" w:cs="Times New Roman"/>
        </w:rPr>
      </w:pPr>
      <w:r w:rsidRPr="00204E1A">
        <w:rPr>
          <w:rFonts w:ascii="Times New Roman" w:hAnsi="Times New Roman" w:cs="Times New Roman"/>
          <w:u w:val="single"/>
        </w:rPr>
        <w:t>Abstract</w:t>
      </w:r>
      <w:r w:rsidRPr="00204E1A">
        <w:rPr>
          <w:rFonts w:ascii="Times New Roman" w:hAnsi="Times New Roman" w:cs="Times New Roman"/>
        </w:rPr>
        <w:t>:</w:t>
      </w:r>
      <w:r>
        <w:rPr>
          <w:rFonts w:ascii="Times New Roman" w:hAnsi="Times New Roman" w:cs="Times New Roman"/>
        </w:rPr>
        <w:t xml:space="preserve"> </w:t>
      </w:r>
      <w:r w:rsidRPr="00204E1A">
        <w:rPr>
          <w:rFonts w:ascii="Times New Roman" w:hAnsi="Times New Roman" w:cs="Times New Roman"/>
        </w:rPr>
        <w:t>Studies related to the assessment of the non-market values of culture typically</w:t>
      </w:r>
      <w:r>
        <w:rPr>
          <w:rFonts w:ascii="Times New Roman" w:hAnsi="Times New Roman" w:cs="Times New Roman"/>
        </w:rPr>
        <w:t xml:space="preserve"> </w:t>
      </w:r>
      <w:r w:rsidRPr="00204E1A">
        <w:rPr>
          <w:rFonts w:ascii="Times New Roman" w:hAnsi="Times New Roman" w:cs="Times New Roman"/>
        </w:rPr>
        <w:t>employ methods based on stated or revealed preferences. In this paper, we implement</w:t>
      </w:r>
      <w:r>
        <w:rPr>
          <w:rFonts w:ascii="Times New Roman" w:hAnsi="Times New Roman" w:cs="Times New Roman"/>
        </w:rPr>
        <w:t xml:space="preserve"> </w:t>
      </w:r>
      <w:r w:rsidRPr="00204E1A">
        <w:rPr>
          <w:rFonts w:ascii="Times New Roman" w:hAnsi="Times New Roman" w:cs="Times New Roman"/>
        </w:rPr>
        <w:t>a new emerging non-market valuation technique, namely the life satisfaction</w:t>
      </w:r>
      <w:r>
        <w:rPr>
          <w:rFonts w:ascii="Times New Roman" w:hAnsi="Times New Roman" w:cs="Times New Roman"/>
        </w:rPr>
        <w:t xml:space="preserve"> </w:t>
      </w:r>
      <w:r w:rsidRPr="00204E1A">
        <w:rPr>
          <w:rFonts w:ascii="Times New Roman" w:hAnsi="Times New Roman" w:cs="Times New Roman"/>
        </w:rPr>
        <w:t>approach. In particular, we quantify in monetary values, the additional utility that</w:t>
      </w:r>
      <w:r>
        <w:rPr>
          <w:rFonts w:ascii="Times New Roman" w:hAnsi="Times New Roman" w:cs="Times New Roman"/>
        </w:rPr>
        <w:t xml:space="preserve"> </w:t>
      </w:r>
      <w:r w:rsidRPr="00204E1A">
        <w:rPr>
          <w:rFonts w:ascii="Times New Roman" w:hAnsi="Times New Roman" w:cs="Times New Roman"/>
        </w:rPr>
        <w:t>people benefit from cultural experiences, as well as the additional disutility suffered</w:t>
      </w:r>
      <w:r>
        <w:rPr>
          <w:rFonts w:ascii="Times New Roman" w:hAnsi="Times New Roman" w:cs="Times New Roman"/>
        </w:rPr>
        <w:t xml:space="preserve"> </w:t>
      </w:r>
      <w:r w:rsidRPr="00204E1A">
        <w:rPr>
          <w:rFonts w:ascii="Times New Roman" w:hAnsi="Times New Roman" w:cs="Times New Roman"/>
        </w:rPr>
        <w:t>by cultural consumers specifically due to the closure of cultural organisations during</w:t>
      </w:r>
      <w:r>
        <w:rPr>
          <w:rFonts w:ascii="Times New Roman" w:hAnsi="Times New Roman" w:cs="Times New Roman"/>
        </w:rPr>
        <w:t xml:space="preserve"> </w:t>
      </w:r>
      <w:r w:rsidRPr="00204E1A">
        <w:rPr>
          <w:rFonts w:ascii="Times New Roman" w:hAnsi="Times New Roman" w:cs="Times New Roman"/>
        </w:rPr>
        <w:t>the COVID-19 pandemic, as the pandemic provides a unique setting. Using a survey</w:t>
      </w:r>
      <w:r>
        <w:rPr>
          <w:rFonts w:ascii="Times New Roman" w:hAnsi="Times New Roman" w:cs="Times New Roman"/>
        </w:rPr>
        <w:t xml:space="preserve"> </w:t>
      </w:r>
      <w:r w:rsidRPr="00204E1A">
        <w:rPr>
          <w:rFonts w:ascii="Times New Roman" w:hAnsi="Times New Roman" w:cs="Times New Roman"/>
        </w:rPr>
        <w:t>conducted in Denmark in the spring of 2020, we confirm the link between cultural</w:t>
      </w:r>
      <w:r>
        <w:rPr>
          <w:rFonts w:ascii="Times New Roman" w:hAnsi="Times New Roman" w:cs="Times New Roman"/>
        </w:rPr>
        <w:t xml:space="preserve"> </w:t>
      </w:r>
      <w:r w:rsidRPr="00204E1A">
        <w:rPr>
          <w:rFonts w:ascii="Times New Roman" w:hAnsi="Times New Roman" w:cs="Times New Roman"/>
        </w:rPr>
        <w:t>participation and well-being by estimating a life satisfaction model, instrumenting</w:t>
      </w:r>
      <w:r>
        <w:rPr>
          <w:rFonts w:ascii="Times New Roman" w:hAnsi="Times New Roman" w:cs="Times New Roman"/>
        </w:rPr>
        <w:t xml:space="preserve"> </w:t>
      </w:r>
      <w:r w:rsidRPr="00204E1A">
        <w:rPr>
          <w:rFonts w:ascii="Times New Roman" w:hAnsi="Times New Roman" w:cs="Times New Roman"/>
        </w:rPr>
        <w:t>for both income and cultural participation to avoid simultaneity problems. Furthermore,</w:t>
      </w:r>
      <w:r>
        <w:rPr>
          <w:rFonts w:ascii="Times New Roman" w:hAnsi="Times New Roman" w:cs="Times New Roman"/>
        </w:rPr>
        <w:t xml:space="preserve"> </w:t>
      </w:r>
      <w:r w:rsidRPr="00204E1A">
        <w:rPr>
          <w:rFonts w:ascii="Times New Roman" w:hAnsi="Times New Roman" w:cs="Times New Roman"/>
        </w:rPr>
        <w:t>we show that fervent cultural consumers have experienced an additional welfare</w:t>
      </w:r>
      <w:r>
        <w:rPr>
          <w:rFonts w:ascii="Times New Roman" w:hAnsi="Times New Roman" w:cs="Times New Roman"/>
        </w:rPr>
        <w:t xml:space="preserve"> </w:t>
      </w:r>
      <w:r w:rsidRPr="00204E1A">
        <w:rPr>
          <w:rFonts w:ascii="Times New Roman" w:hAnsi="Times New Roman" w:cs="Times New Roman"/>
        </w:rPr>
        <w:t>loss during the lockdown period, controlling for all other known life dimensions</w:t>
      </w:r>
      <w:r>
        <w:rPr>
          <w:rFonts w:ascii="Times New Roman" w:hAnsi="Times New Roman" w:cs="Times New Roman"/>
        </w:rPr>
        <w:t xml:space="preserve"> </w:t>
      </w:r>
      <w:r w:rsidRPr="00204E1A">
        <w:rPr>
          <w:rFonts w:ascii="Times New Roman" w:hAnsi="Times New Roman" w:cs="Times New Roman"/>
        </w:rPr>
        <w:t>affected by the pandemic. Our results aim to highlight the role of cultural participation</w:t>
      </w:r>
      <w:r>
        <w:rPr>
          <w:rFonts w:ascii="Times New Roman" w:hAnsi="Times New Roman" w:cs="Times New Roman"/>
        </w:rPr>
        <w:t xml:space="preserve"> </w:t>
      </w:r>
      <w:r w:rsidRPr="00204E1A">
        <w:rPr>
          <w:rFonts w:ascii="Times New Roman" w:hAnsi="Times New Roman" w:cs="Times New Roman"/>
        </w:rPr>
        <w:t>in sustaining life satisfaction and, consequently, to support a well-being evidence-based cultural policy that facilitate cultural accessibility as a mean to increase</w:t>
      </w:r>
      <w:r>
        <w:rPr>
          <w:rFonts w:ascii="Times New Roman" w:hAnsi="Times New Roman" w:cs="Times New Roman"/>
        </w:rPr>
        <w:t xml:space="preserve"> </w:t>
      </w:r>
      <w:r w:rsidRPr="00204E1A">
        <w:rPr>
          <w:rFonts w:ascii="Times New Roman" w:hAnsi="Times New Roman" w:cs="Times New Roman"/>
        </w:rPr>
        <w:t>the individual well-being.</w:t>
      </w:r>
    </w:p>
    <w:p w14:paraId="0DB76E73" w14:textId="77777777" w:rsidR="00092C75" w:rsidRDefault="00092C75" w:rsidP="00204E1A">
      <w:pPr>
        <w:spacing w:after="0" w:line="240" w:lineRule="auto"/>
        <w:jc w:val="both"/>
        <w:rPr>
          <w:rFonts w:ascii="Times New Roman" w:hAnsi="Times New Roman" w:cs="Times New Roman"/>
        </w:rPr>
      </w:pPr>
    </w:p>
    <w:p w14:paraId="2D07399E" w14:textId="1C21BE88" w:rsidR="00092C75" w:rsidRPr="00656532" w:rsidRDefault="00092C75" w:rsidP="00204E1A">
      <w:pPr>
        <w:spacing w:after="0" w:line="240" w:lineRule="auto"/>
        <w:jc w:val="both"/>
        <w:rPr>
          <w:rFonts w:ascii="Times New Roman" w:hAnsi="Times New Roman" w:cs="Times New Roman"/>
        </w:rPr>
      </w:pPr>
      <w:r>
        <w:rPr>
          <w:rFonts w:ascii="Times New Roman" w:hAnsi="Times New Roman" w:cs="Times New Roman"/>
        </w:rPr>
        <w:t>Mini symposium will be moderated by Andrej Srakar, Special Session Coordinator of the CEOS online seminar series.</w:t>
      </w:r>
    </w:p>
    <w:sectPr w:rsidR="00092C75" w:rsidRPr="00656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F40B0"/>
    <w:multiLevelType w:val="hybridMultilevel"/>
    <w:tmpl w:val="313067A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02473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32"/>
    <w:rsid w:val="00092C75"/>
    <w:rsid w:val="00204E1A"/>
    <w:rsid w:val="00656532"/>
    <w:rsid w:val="008D0DF0"/>
    <w:rsid w:val="00B07657"/>
    <w:rsid w:val="00CA3E18"/>
    <w:rsid w:val="00DA76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C316"/>
  <w15:chartTrackingRefBased/>
  <w15:docId w15:val="{7B3D80B8-A7B2-4C63-B1AF-259C1DDD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l-SI"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5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65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65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65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65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65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65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65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65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5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65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65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65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65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65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65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65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6532"/>
    <w:rPr>
      <w:rFonts w:eastAsiaTheme="majorEastAsia" w:cstheme="majorBidi"/>
      <w:color w:val="272727" w:themeColor="text1" w:themeTint="D8"/>
    </w:rPr>
  </w:style>
  <w:style w:type="paragraph" w:styleId="Title">
    <w:name w:val="Title"/>
    <w:basedOn w:val="Normal"/>
    <w:next w:val="Normal"/>
    <w:link w:val="TitleChar"/>
    <w:uiPriority w:val="10"/>
    <w:qFormat/>
    <w:rsid w:val="006565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65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65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65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6532"/>
    <w:pPr>
      <w:spacing w:before="160"/>
      <w:jc w:val="center"/>
    </w:pPr>
    <w:rPr>
      <w:i/>
      <w:iCs/>
      <w:color w:val="404040" w:themeColor="text1" w:themeTint="BF"/>
    </w:rPr>
  </w:style>
  <w:style w:type="character" w:customStyle="1" w:styleId="QuoteChar">
    <w:name w:val="Quote Char"/>
    <w:basedOn w:val="DefaultParagraphFont"/>
    <w:link w:val="Quote"/>
    <w:uiPriority w:val="29"/>
    <w:rsid w:val="00656532"/>
    <w:rPr>
      <w:i/>
      <w:iCs/>
      <w:color w:val="404040" w:themeColor="text1" w:themeTint="BF"/>
    </w:rPr>
  </w:style>
  <w:style w:type="paragraph" w:styleId="ListParagraph">
    <w:name w:val="List Paragraph"/>
    <w:basedOn w:val="Normal"/>
    <w:uiPriority w:val="34"/>
    <w:qFormat/>
    <w:rsid w:val="00656532"/>
    <w:pPr>
      <w:ind w:left="720"/>
      <w:contextualSpacing/>
    </w:pPr>
  </w:style>
  <w:style w:type="character" w:styleId="IntenseEmphasis">
    <w:name w:val="Intense Emphasis"/>
    <w:basedOn w:val="DefaultParagraphFont"/>
    <w:uiPriority w:val="21"/>
    <w:qFormat/>
    <w:rsid w:val="00656532"/>
    <w:rPr>
      <w:i/>
      <w:iCs/>
      <w:color w:val="0F4761" w:themeColor="accent1" w:themeShade="BF"/>
    </w:rPr>
  </w:style>
  <w:style w:type="paragraph" w:styleId="IntenseQuote">
    <w:name w:val="Intense Quote"/>
    <w:basedOn w:val="Normal"/>
    <w:next w:val="Normal"/>
    <w:link w:val="IntenseQuoteChar"/>
    <w:uiPriority w:val="30"/>
    <w:qFormat/>
    <w:rsid w:val="006565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6532"/>
    <w:rPr>
      <w:i/>
      <w:iCs/>
      <w:color w:val="0F4761" w:themeColor="accent1" w:themeShade="BF"/>
    </w:rPr>
  </w:style>
  <w:style w:type="character" w:styleId="IntenseReference">
    <w:name w:val="Intense Reference"/>
    <w:basedOn w:val="DefaultParagraphFont"/>
    <w:uiPriority w:val="32"/>
    <w:qFormat/>
    <w:rsid w:val="0065653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Srakar</dc:creator>
  <cp:keywords/>
  <dc:description/>
  <cp:lastModifiedBy>Andrej Srakar</cp:lastModifiedBy>
  <cp:revision>3</cp:revision>
  <dcterms:created xsi:type="dcterms:W3CDTF">2024-01-16T10:05:00Z</dcterms:created>
  <dcterms:modified xsi:type="dcterms:W3CDTF">2024-01-16T10:08:00Z</dcterms:modified>
</cp:coreProperties>
</file>